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2A5C1"/>
    <w:p w14:paraId="66FA7C87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A6E6064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69315B93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0D8D7C40">
      <w:pPr>
        <w:spacing w:line="480" w:lineRule="auto"/>
        <w:ind w:firstLine="880"/>
        <w:jc w:val="left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bidi="en-US"/>
        </w:rPr>
        <w:t>消化202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en-US"/>
        </w:rPr>
        <w:t>3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bidi="en-US"/>
        </w:rPr>
        <w:t>年暂付款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en-US"/>
        </w:rPr>
        <w:t>项目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支出绩效评价报告</w:t>
      </w:r>
    </w:p>
    <w:p w14:paraId="655F2447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527F87A8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18DED534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3E7E5DC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42F8EFF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9944660">
      <w:pPr>
        <w:pStyle w:val="8"/>
      </w:pPr>
    </w:p>
    <w:p w14:paraId="1AD762F3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75D1EBF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70682E83">
      <w:pPr>
        <w:pStyle w:val="8"/>
        <w:rPr>
          <w:rFonts w:eastAsia="仿宋_GB2312"/>
          <w:kern w:val="0"/>
          <w:sz w:val="30"/>
          <w:szCs w:val="30"/>
        </w:rPr>
      </w:pPr>
    </w:p>
    <w:p w14:paraId="3F783C6A"/>
    <w:p w14:paraId="78B0D5A4"/>
    <w:p w14:paraId="5EDCB22A">
      <w:pPr>
        <w:spacing w:line="480" w:lineRule="auto"/>
        <w:jc w:val="left"/>
        <w:rPr>
          <w:rFonts w:hint="eastAsia"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项目名称：</w:t>
      </w:r>
      <w:bookmarkStart w:id="0" w:name="OLE_LINK7"/>
      <w:r>
        <w:rPr>
          <w:rFonts w:hint="eastAsia" w:eastAsia="仿宋_GB2312"/>
          <w:kern w:val="0"/>
          <w:sz w:val="36"/>
          <w:szCs w:val="36"/>
        </w:rPr>
        <w:t>消化202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3</w:t>
      </w:r>
      <w:r>
        <w:rPr>
          <w:rFonts w:hint="eastAsia" w:eastAsia="仿宋_GB2312"/>
          <w:kern w:val="0"/>
          <w:sz w:val="36"/>
          <w:szCs w:val="36"/>
        </w:rPr>
        <w:t>年暂付款项</w:t>
      </w:r>
      <w:bookmarkEnd w:id="0"/>
    </w:p>
    <w:p w14:paraId="49E7F6AA">
      <w:pPr>
        <w:spacing w:line="480" w:lineRule="auto"/>
        <w:ind w:left="3240" w:hanging="3240" w:hangingChars="900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实施单位（公章）：</w:t>
      </w:r>
      <w:r>
        <w:rPr>
          <w:rFonts w:hint="eastAsia" w:eastAsia="仿宋_GB2312"/>
          <w:kern w:val="0"/>
          <w:sz w:val="36"/>
          <w:szCs w:val="36"/>
        </w:rPr>
        <w:t>中共乌鲁木齐市水磨沟区委员会政法委员会</w:t>
      </w:r>
    </w:p>
    <w:p w14:paraId="62F5DD13">
      <w:pPr>
        <w:spacing w:line="480" w:lineRule="auto"/>
        <w:ind w:left="3240" w:hanging="3240" w:hangingChars="900"/>
        <w:jc w:val="left"/>
        <w:rPr>
          <w:rFonts w:hint="eastAsia"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主管部门（公章）：</w:t>
      </w:r>
      <w:r>
        <w:rPr>
          <w:rFonts w:hint="eastAsia" w:eastAsia="仿宋_GB2312"/>
          <w:kern w:val="0"/>
          <w:sz w:val="36"/>
          <w:szCs w:val="36"/>
        </w:rPr>
        <w:t>中共乌鲁木齐市水磨沟区委员会政法委员会</w:t>
      </w:r>
    </w:p>
    <w:p w14:paraId="1C75992F">
      <w:pPr>
        <w:spacing w:line="480" w:lineRule="auto"/>
        <w:jc w:val="left"/>
        <w:rPr>
          <w:rFonts w:hint="eastAsia" w:eastAsia="仿宋_GB2312"/>
          <w:kern w:val="0"/>
          <w:sz w:val="36"/>
          <w:szCs w:val="36"/>
          <w:lang w:eastAsia="zh-CN"/>
        </w:rPr>
      </w:pPr>
      <w:r>
        <w:rPr>
          <w:rFonts w:eastAsia="仿宋_GB2312"/>
          <w:kern w:val="0"/>
          <w:sz w:val="36"/>
          <w:szCs w:val="36"/>
        </w:rPr>
        <w:t>项目负责人（签章）：</w:t>
      </w:r>
      <w:r>
        <w:rPr>
          <w:rFonts w:hint="eastAsia" w:eastAsia="仿宋_GB2312"/>
          <w:kern w:val="0"/>
          <w:sz w:val="36"/>
          <w:szCs w:val="36"/>
          <w:lang w:eastAsia="zh-CN"/>
        </w:rPr>
        <w:t>闫建军</w:t>
      </w:r>
    </w:p>
    <w:p w14:paraId="07536162">
      <w:pPr>
        <w:spacing w:line="480" w:lineRule="auto"/>
        <w:jc w:val="left"/>
        <w:rPr>
          <w:rFonts w:eastAsia="黑体"/>
          <w:bCs/>
          <w:sz w:val="32"/>
          <w:szCs w:val="32"/>
        </w:rPr>
        <w:sectPr>
          <w:footerReference r:id="rId3" w:type="default"/>
          <w:pgSz w:w="11906" w:h="16838"/>
          <w:pgMar w:top="1440" w:right="1558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eastAsia="仿宋_GB2312"/>
          <w:kern w:val="0"/>
          <w:sz w:val="36"/>
          <w:szCs w:val="36"/>
        </w:rPr>
        <w:t>填报时间：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2025</w:t>
      </w:r>
      <w:r>
        <w:rPr>
          <w:rFonts w:eastAsia="仿宋_GB2312"/>
          <w:kern w:val="0"/>
          <w:sz w:val="36"/>
          <w:szCs w:val="36"/>
        </w:rPr>
        <w:t>年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月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2</w:t>
      </w:r>
      <w:r>
        <w:rPr>
          <w:rFonts w:eastAsia="仿宋_GB2312"/>
          <w:kern w:val="0"/>
          <w:sz w:val="36"/>
          <w:szCs w:val="36"/>
        </w:rPr>
        <w:t>日</w:t>
      </w:r>
    </w:p>
    <w:p w14:paraId="486CD781">
      <w:pPr>
        <w:spacing w:line="56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44D7CA01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11766CF2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5AE4157E">
      <w:pPr>
        <w:spacing w:line="560" w:lineRule="exact"/>
        <w:ind w:firstLine="672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spacing w:val="8"/>
          <w:sz w:val="32"/>
          <w:szCs w:val="32"/>
        </w:rPr>
        <w:t>按照项目绩效评价要求，选取资金支出占比超过20%项目，按全口径部门支出决算金额计算，消化202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年暂付款项目资金占支出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67.12</w:t>
      </w:r>
      <w:r>
        <w:rPr>
          <w:rFonts w:hint="eastAsia" w:ascii="仿宋" w:hAnsi="仿宋" w:eastAsia="仿宋" w:cs="仿宋"/>
          <w:spacing w:val="8"/>
          <w:sz w:val="32"/>
          <w:szCs w:val="32"/>
        </w:rPr>
        <w:t>%，因此选择该项目做绩效评价。该项目包含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pacing w:val="8"/>
          <w:sz w:val="32"/>
          <w:szCs w:val="32"/>
        </w:rPr>
        <w:t>个子项目，均于202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年完成，资金支付做往来账处理，202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年按区财政局《关于消化202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年新增暂付性款项的通知》要求，将该款项做账务处理列入当年收支，项目明细如下：</w:t>
      </w:r>
    </w:p>
    <w:p w14:paraId="6347C8A0">
      <w:pPr>
        <w:spacing w:line="560" w:lineRule="exact"/>
        <w:ind w:firstLine="672"/>
        <w:rPr>
          <w:rFonts w:hint="eastAsia" w:ascii="仿宋" w:hAnsi="仿宋" w:eastAsia="仿宋" w:cs="仿宋"/>
          <w:spacing w:val="8"/>
          <w:sz w:val="32"/>
          <w:szCs w:val="32"/>
        </w:rPr>
      </w:pPr>
    </w:p>
    <w:p w14:paraId="3CB57966">
      <w:pPr>
        <w:spacing w:line="560" w:lineRule="exact"/>
        <w:ind w:firstLine="0" w:firstLineChars="0"/>
        <w:jc w:val="center"/>
        <w:rPr>
          <w:rFonts w:ascii="仿宋" w:hAnsi="仿宋" w:eastAsia="仿宋" w:cs="仿宋"/>
          <w:b/>
          <w:bCs/>
          <w:spacing w:val="8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pacing w:val="8"/>
          <w:sz w:val="44"/>
          <w:szCs w:val="44"/>
        </w:rPr>
        <w:t>表1 消化202</w:t>
      </w:r>
      <w:r>
        <w:rPr>
          <w:rFonts w:hint="eastAsia" w:ascii="仿宋" w:hAnsi="仿宋" w:eastAsia="仿宋" w:cs="仿宋"/>
          <w:b/>
          <w:bCs/>
          <w:spacing w:val="8"/>
          <w:sz w:val="44"/>
          <w:szCs w:val="4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pacing w:val="8"/>
          <w:sz w:val="44"/>
          <w:szCs w:val="44"/>
        </w:rPr>
        <w:t>年暂付款项目明细</w:t>
      </w:r>
    </w:p>
    <w:tbl>
      <w:tblPr>
        <w:tblStyle w:val="12"/>
        <w:tblW w:w="8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3870"/>
        <w:gridCol w:w="3645"/>
      </w:tblGrid>
      <w:tr w14:paraId="32AFE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49" w:type="dxa"/>
          </w:tcPr>
          <w:p w14:paraId="2A214BA8">
            <w:pPr>
              <w:spacing w:line="280" w:lineRule="exact"/>
              <w:ind w:firstLine="0" w:firstLineChars="0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序号</w:t>
            </w:r>
          </w:p>
        </w:tc>
        <w:tc>
          <w:tcPr>
            <w:tcW w:w="3870" w:type="dxa"/>
          </w:tcPr>
          <w:p w14:paraId="2019A2FC">
            <w:pPr>
              <w:spacing w:line="560" w:lineRule="exact"/>
              <w:ind w:firstLine="512"/>
              <w:jc w:val="center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项目名称</w:t>
            </w:r>
          </w:p>
        </w:tc>
        <w:tc>
          <w:tcPr>
            <w:tcW w:w="3645" w:type="dxa"/>
          </w:tcPr>
          <w:p w14:paraId="4D7CD1C7"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金额</w:t>
            </w:r>
          </w:p>
        </w:tc>
      </w:tr>
      <w:tr w14:paraId="7DF13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</w:trPr>
        <w:tc>
          <w:tcPr>
            <w:tcW w:w="949" w:type="dxa"/>
          </w:tcPr>
          <w:p w14:paraId="1356B99E"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1</w:t>
            </w:r>
          </w:p>
        </w:tc>
        <w:tc>
          <w:tcPr>
            <w:tcW w:w="3870" w:type="dxa"/>
            <w:vAlign w:val="center"/>
          </w:tcPr>
          <w:p w14:paraId="31C44DA0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2"/>
                <w:lang w:val="en-US" w:eastAsia="zh-CN"/>
              </w:rPr>
            </w:pPr>
            <w:bookmarkStart w:id="1" w:name="OLE_LINK1"/>
            <w:r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  <w:t>通信规划设计院</w:t>
            </w:r>
            <w:r>
              <w:rPr>
                <w:rFonts w:hint="eastAsia" w:ascii="仿宋" w:hAnsi="仿宋" w:eastAsia="仿宋" w:cs="仿宋"/>
                <w:spacing w:val="8"/>
                <w:sz w:val="22"/>
                <w:lang w:val="en-US" w:eastAsia="zh-CN"/>
              </w:rPr>
              <w:t>2021年XL工程项目设计费</w:t>
            </w:r>
            <w:bookmarkEnd w:id="1"/>
          </w:p>
        </w:tc>
        <w:tc>
          <w:tcPr>
            <w:tcW w:w="3645" w:type="dxa"/>
            <w:vAlign w:val="center"/>
          </w:tcPr>
          <w:p w14:paraId="7D73BBFF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485764.4</w:t>
            </w:r>
          </w:p>
        </w:tc>
      </w:tr>
      <w:tr w14:paraId="0B73A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49" w:type="dxa"/>
          </w:tcPr>
          <w:p w14:paraId="2B8F8EF4"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2</w:t>
            </w:r>
          </w:p>
        </w:tc>
        <w:tc>
          <w:tcPr>
            <w:tcW w:w="3870" w:type="dxa"/>
            <w:vAlign w:val="center"/>
          </w:tcPr>
          <w:p w14:paraId="4C8014F2">
            <w:pPr>
              <w:spacing w:line="280" w:lineRule="exact"/>
              <w:ind w:firstLine="0" w:firstLineChars="0"/>
              <w:jc w:val="center"/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</w:pPr>
            <w:bookmarkStart w:id="2" w:name="OLE_LINK3"/>
            <w:r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  <w:t>云迪环境锅炉安装费</w:t>
            </w:r>
            <w:bookmarkEnd w:id="2"/>
          </w:p>
        </w:tc>
        <w:tc>
          <w:tcPr>
            <w:tcW w:w="3645" w:type="dxa"/>
            <w:vAlign w:val="center"/>
          </w:tcPr>
          <w:p w14:paraId="7A03E098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17481</w:t>
            </w:r>
          </w:p>
        </w:tc>
      </w:tr>
      <w:tr w14:paraId="7887A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49" w:type="dxa"/>
          </w:tcPr>
          <w:p w14:paraId="17C1309C"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3</w:t>
            </w:r>
          </w:p>
        </w:tc>
        <w:tc>
          <w:tcPr>
            <w:tcW w:w="3870" w:type="dxa"/>
            <w:vAlign w:val="center"/>
          </w:tcPr>
          <w:p w14:paraId="0A803567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2"/>
                <w:lang w:val="en-US" w:eastAsia="zh-CN"/>
              </w:rPr>
            </w:pPr>
            <w:bookmarkStart w:id="3" w:name="OLE_LINK4"/>
            <w:r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  <w:t>水磨沟区</w:t>
            </w:r>
            <w:r>
              <w:rPr>
                <w:rFonts w:hint="eastAsia" w:ascii="仿宋" w:hAnsi="仿宋" w:eastAsia="仿宋" w:cs="仿宋"/>
                <w:spacing w:val="8"/>
                <w:sz w:val="22"/>
                <w:lang w:val="en-US" w:eastAsia="zh-CN"/>
              </w:rPr>
              <w:t>FKWW指挥部土建改造建设项目监理</w:t>
            </w:r>
            <w:bookmarkEnd w:id="3"/>
          </w:p>
        </w:tc>
        <w:tc>
          <w:tcPr>
            <w:tcW w:w="3645" w:type="dxa"/>
            <w:vAlign w:val="center"/>
          </w:tcPr>
          <w:p w14:paraId="4DD61E6E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19745.37</w:t>
            </w:r>
          </w:p>
        </w:tc>
      </w:tr>
      <w:tr w14:paraId="6059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49" w:type="dxa"/>
          </w:tcPr>
          <w:p w14:paraId="4EDFA722"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4</w:t>
            </w:r>
          </w:p>
        </w:tc>
        <w:tc>
          <w:tcPr>
            <w:tcW w:w="3870" w:type="dxa"/>
            <w:vAlign w:val="center"/>
          </w:tcPr>
          <w:p w14:paraId="5044EAAB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2"/>
                <w:lang w:val="en-US" w:eastAsia="zh-CN"/>
              </w:rPr>
            </w:pPr>
            <w:bookmarkStart w:id="4" w:name="OLE_LINK5"/>
            <w:r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  <w:t>屹翔</w:t>
            </w:r>
            <w:r>
              <w:rPr>
                <w:rFonts w:hint="eastAsia" w:ascii="仿宋" w:hAnsi="仿宋" w:eastAsia="仿宋" w:cs="仿宋"/>
                <w:spacing w:val="8"/>
                <w:sz w:val="22"/>
                <w:lang w:val="en-US" w:eastAsia="zh-CN"/>
              </w:rPr>
              <w:t>2019年度信息化系统工程建设项目监理费</w:t>
            </w:r>
            <w:bookmarkEnd w:id="4"/>
          </w:p>
        </w:tc>
        <w:tc>
          <w:tcPr>
            <w:tcW w:w="3645" w:type="dxa"/>
            <w:vAlign w:val="center"/>
          </w:tcPr>
          <w:p w14:paraId="2BFD52F2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407760</w:t>
            </w:r>
          </w:p>
        </w:tc>
      </w:tr>
      <w:tr w14:paraId="03DA9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49" w:type="dxa"/>
          </w:tcPr>
          <w:p w14:paraId="39719459"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5</w:t>
            </w:r>
          </w:p>
        </w:tc>
        <w:tc>
          <w:tcPr>
            <w:tcW w:w="3870" w:type="dxa"/>
            <w:vAlign w:val="center"/>
          </w:tcPr>
          <w:p w14:paraId="636E3A34">
            <w:pPr>
              <w:spacing w:line="280" w:lineRule="exact"/>
              <w:ind w:firstLine="0" w:firstLineChars="0"/>
              <w:jc w:val="center"/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  <w:t>市委调研组驻区专项检查食宿费</w:t>
            </w:r>
          </w:p>
        </w:tc>
        <w:tc>
          <w:tcPr>
            <w:tcW w:w="3645" w:type="dxa"/>
            <w:vAlign w:val="center"/>
          </w:tcPr>
          <w:p w14:paraId="7B53FD58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20172</w:t>
            </w:r>
          </w:p>
        </w:tc>
      </w:tr>
      <w:tr w14:paraId="7852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819" w:type="dxa"/>
            <w:gridSpan w:val="2"/>
          </w:tcPr>
          <w:p w14:paraId="55E9B271">
            <w:pPr>
              <w:spacing w:line="280" w:lineRule="exact"/>
              <w:ind w:firstLine="0" w:firstLineChars="0"/>
              <w:jc w:val="both"/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</w:pPr>
          </w:p>
          <w:p w14:paraId="2FB1EF77">
            <w:pPr>
              <w:spacing w:line="280" w:lineRule="exact"/>
              <w:ind w:firstLine="0" w:firstLineChars="0"/>
              <w:jc w:val="center"/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</w:pPr>
          </w:p>
          <w:p w14:paraId="6DA1CCB3">
            <w:pPr>
              <w:spacing w:line="280" w:lineRule="exact"/>
              <w:ind w:firstLine="0" w:firstLineChars="0"/>
              <w:jc w:val="center"/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2"/>
                <w:lang w:eastAsia="zh-CN"/>
              </w:rPr>
              <w:t>合计</w:t>
            </w:r>
          </w:p>
        </w:tc>
        <w:tc>
          <w:tcPr>
            <w:tcW w:w="3645" w:type="dxa"/>
            <w:vAlign w:val="center"/>
          </w:tcPr>
          <w:p w14:paraId="16E27E2A">
            <w:pPr>
              <w:spacing w:line="560" w:lineRule="exact"/>
              <w:ind w:firstLine="0" w:firstLineChars="0"/>
              <w:jc w:val="center"/>
              <w:rPr>
                <w:rFonts w:hint="default" w:ascii="仿宋" w:hAnsi="仿宋" w:eastAsia="仿宋" w:cs="仿宋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950922.77</w:t>
            </w:r>
          </w:p>
        </w:tc>
      </w:tr>
    </w:tbl>
    <w:p w14:paraId="7817C30E"/>
    <w:p w14:paraId="1E5179AB">
      <w:pPr>
        <w:spacing w:line="560" w:lineRule="exact"/>
        <w:ind w:firstLine="0" w:firstLineChars="0"/>
        <w:jc w:val="both"/>
        <w:rPr>
          <w:rFonts w:ascii="仿宋" w:hAnsi="仿宋" w:eastAsia="仿宋" w:cs="仿宋"/>
          <w:b/>
          <w:bCs/>
          <w:spacing w:val="8"/>
          <w:sz w:val="44"/>
          <w:szCs w:val="44"/>
        </w:rPr>
      </w:pPr>
    </w:p>
    <w:p w14:paraId="57451738">
      <w:pPr>
        <w:pStyle w:val="19"/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及实施情况</w:t>
      </w:r>
    </w:p>
    <w:p w14:paraId="32B4259E">
      <w:pPr>
        <w:spacing w:line="560" w:lineRule="exact"/>
        <w:ind w:firstLine="600" w:firstLineChars="200"/>
        <w:rPr>
          <w:rFonts w:hint="default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项目主要内容：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通信规划设计院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2021年XL工程项目设计费，该项目为水磨沟区2021年“XL工程”新建项目提供设计服务，共计费用48.58万元，本次一次性支付完毕；2）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云迪环境锅炉安装费，该项目为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2017年7月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政法委锅炉房内土建施工项目，共计费用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5.827万元，2018年2月支付了4.0789万元，本次支付剩余款项1.7481万元；3）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水磨沟区</w:t>
      </w:r>
      <w:bookmarkStart w:id="5" w:name="OLE_LINK8"/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FKWW指挥部土建改造建设项目</w:t>
      </w:r>
      <w:bookmarkEnd w:id="5"/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监理，该项目为FKWW指挥部土建改造建设项目的监理费，共计费用为3.95万元，前期支付了1.98万元，本次支付剩余款项1.97万元；4）屹翔2019年度信息化系统工程建设项目监理费，该项目为水磨沟区2019年度信息化系统工程建设项目的监理费，共计费用为40.776万元，本次一次性支付完毕；5）市委调研组驻区专项检查食宿费，该项目为市WW调研组入住该酒店所产生的食宿费，共计费用39.02万元，前期已支付37万元 ，本次支付剩余款项2.02万元。</w:t>
      </w:r>
    </w:p>
    <w:p w14:paraId="48DD293B">
      <w:pPr>
        <w:spacing w:line="560" w:lineRule="exact"/>
        <w:ind w:firstLine="640" w:firstLineChars="200"/>
      </w:pPr>
      <w:r>
        <w:rPr>
          <w:rFonts w:eastAsia="仿宋_GB2312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686336AF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3D94689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（1）资金投入情况</w:t>
      </w:r>
    </w:p>
    <w:p w14:paraId="6E1A301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该项目年初预算数</w:t>
      </w:r>
      <w:bookmarkStart w:id="6" w:name="OLE_LINK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95.09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资金到位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95.09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资金到位率100%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，资金来源为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财政拨款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92AC7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（2）资金使用情况</w:t>
      </w:r>
    </w:p>
    <w:p w14:paraId="5BD4853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%，主要用于：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消化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2023年暂付款,共计包括5个项目，分别为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通信规划设计院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2021年XL工程项目设计费；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云迪环境锅炉安装费；水磨沟区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FKWW指挥部土建改造建设项目监理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；屹翔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2019年度信息化系统工程建设项目监理费；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市委调研组驻区专项检查食宿费。</w:t>
      </w:r>
    </w:p>
    <w:p w14:paraId="447885B7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49200924"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0F6DBEEB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消化2023年暂付款，该项目主要用于支付2023年5家工信部平台上的中小企业欠款。通过有序化解存量债务，降低欠款企业信访意愿，有效防范和化解政府债务分险，促进辖区经济持续、健康、稳定发展。</w:t>
      </w:r>
    </w:p>
    <w:p w14:paraId="576A910B">
      <w:pPr>
        <w:spacing w:line="560" w:lineRule="exact"/>
        <w:ind w:firstLine="643" w:firstLineChars="200"/>
        <w:rPr>
          <w:rFonts w:ascii="仿宋_GB2312" w:hAnsi="仿宋_GB2312" w:eastAsia="仿宋_GB2312" w:cs="仿宋_GB2312"/>
          <w:b w:val="0"/>
          <w:bCs w:val="0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2.阶段性目标</w:t>
      </w:r>
    </w:p>
    <w:p w14:paraId="05ABBCC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消化2023年暂付款，项目主要用于支付工信部平台上的5个项目（5家企业）的欠款，偿还欠款项目涉及：一是水磨沟区政法委员会锅炉房内土建施工，二是水磨沟区FKWW指挥部土建改造项目监理费，三是2021年XL工程新建项目设计费；四是2019年度信息化系统工程建设项目监理费，五是市委调研组驻区专项检查食宿费，共5个项目。通过化解企业欠款，有效降低了我单位的债务风险。</w:t>
      </w:r>
    </w:p>
    <w:p w14:paraId="2E2661AD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F1141A9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59B99244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591F1C9A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5F6E37F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2BE9233A">
      <w:pPr>
        <w:numPr>
          <w:ilvl w:val="0"/>
          <w:numId w:val="1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0A12790B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（2）项目绩效管理财政支出运行提供及时、有效的信息。</w:t>
      </w:r>
    </w:p>
    <w:p w14:paraId="169EBAE1">
      <w:pPr>
        <w:pStyle w:val="19"/>
        <w:spacing w:line="560" w:lineRule="exact"/>
        <w:ind w:firstLine="640" w:firstLineChars="200"/>
        <w:rPr>
          <w:rFonts w:eastAsia="方正仿宋_GBK" w:cs="方正仿宋_GBK"/>
          <w:sz w:val="32"/>
          <w:szCs w:val="32"/>
        </w:rPr>
      </w:pPr>
      <w:r>
        <w:rPr>
          <w:rFonts w:eastAsia="仿宋_GB2312"/>
          <w:sz w:val="32"/>
          <w:szCs w:val="32"/>
        </w:rPr>
        <w:t>综合来看，通过开展有效的财政支出绩效评价管理，</w:t>
      </w:r>
      <w:r>
        <w:rPr>
          <w:rFonts w:hint="eastAsia" w:eastAsia="仿宋_GB2312"/>
          <w:sz w:val="32"/>
          <w:szCs w:val="32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73489EFA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62F9AD1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7" w:name="OLE_LINK6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2023年暂付款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所包含的全部项目内容。</w:t>
      </w:r>
    </w:p>
    <w:p w14:paraId="478B75DC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177CF39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2023年暂付款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项目进行评价，评价核心为专项资金的支出完成情况和效果。</w:t>
      </w:r>
    </w:p>
    <w:p w14:paraId="7722F12E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4B80D686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6728DDF9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 w14:paraId="612BA541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706E1396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32EBF339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A06698D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（4）公开透明。绩效评价结果应依法依规公开，并自觉接受社会监督。</w:t>
      </w:r>
    </w:p>
    <w:p w14:paraId="5D32A76E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评价指标体系</w:t>
      </w:r>
    </w:p>
    <w:p w14:paraId="5D78B0A5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10DE105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 w14:paraId="71D7B66D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238C2AC7">
      <w:pPr>
        <w:spacing w:line="560" w:lineRule="exact"/>
        <w:ind w:firstLine="708" w:firstLineChars="200"/>
        <w:rPr>
          <w:rFonts w:eastAsia="仿宋_GB2312"/>
          <w:color w:val="000000" w:themeColor="text1"/>
          <w:spacing w:val="17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0859F576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0362508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101FD063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61AE77E">
      <w:pPr>
        <w:pStyle w:val="8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3E0F52C6">
      <w:pPr>
        <w:pStyle w:val="8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具体评价指标体系详情见附件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  <w:t>2。</w:t>
      </w:r>
    </w:p>
    <w:p w14:paraId="7B5A3E92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3C42D14E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6F708390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6E65B60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（1）比较法</w:t>
      </w:r>
    </w:p>
    <w:p w14:paraId="23DECABE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760EC56C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（2）因素分析法</w:t>
      </w:r>
    </w:p>
    <w:p w14:paraId="50C0D6CC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5280C838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评价标准</w:t>
      </w:r>
    </w:p>
    <w:p w14:paraId="1E8F62E5">
      <w:pPr>
        <w:spacing w:line="560" w:lineRule="exact"/>
        <w:ind w:firstLine="640"/>
        <w:rPr>
          <w:rFonts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eastAsia="方正仿宋_GBK" w:cs="方正仿宋_GBK"/>
          <w:sz w:val="32"/>
          <w:szCs w:val="32"/>
        </w:rPr>
        <w:t>绩效评价标准通常包括计划标准、行业标准、历史标准等，用于对绩效</w:t>
      </w:r>
      <w:r>
        <w:rPr>
          <w:rFonts w:hint="eastAsia" w:eastAsia="方正仿宋_GBK" w:cs="方正仿宋_GBK"/>
          <w:sz w:val="32"/>
          <w:szCs w:val="32"/>
          <w:highlight w:val="none"/>
        </w:rPr>
        <w:t>指标完成情况进行比较、分析、评价。本次评价主要采用了</w:t>
      </w:r>
      <w:r>
        <w:rPr>
          <w:rFonts w:hint="eastAsia" w:eastAsia="方正仿宋_GBK" w:cs="方正仿宋_GBK"/>
          <w:sz w:val="32"/>
          <w:szCs w:val="32"/>
          <w:highlight w:val="none"/>
          <w:lang w:eastAsia="zh-CN"/>
        </w:rPr>
        <w:t>计划标准和历史标准。</w:t>
      </w:r>
    </w:p>
    <w:p w14:paraId="3DA3F768">
      <w:pPr>
        <w:spacing w:line="560" w:lineRule="exact"/>
        <w:ind w:firstLine="640"/>
        <w:rPr>
          <w:rFonts w:eastAsia="方正仿宋_GBK" w:cs="方正仿宋_GBK"/>
          <w:sz w:val="32"/>
          <w:szCs w:val="32"/>
        </w:rPr>
      </w:pPr>
      <w:bookmarkStart w:id="8" w:name="_Toc17882"/>
      <w:bookmarkStart w:id="9" w:name="_Toc31464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计划标准：</w:t>
      </w:r>
      <w:r>
        <w:rPr>
          <w:rFonts w:hint="eastAsia" w:eastAsia="方正仿宋_GBK" w:cs="方正仿宋_GBK"/>
          <w:sz w:val="32"/>
          <w:szCs w:val="32"/>
          <w:highlight w:val="none"/>
        </w:rPr>
        <w:t>指以预先制定的目标、计划</w:t>
      </w:r>
      <w:r>
        <w:rPr>
          <w:rFonts w:hint="eastAsia" w:eastAsia="方正仿宋_GBK" w:cs="方正仿宋_GBK"/>
          <w:sz w:val="32"/>
          <w:szCs w:val="32"/>
        </w:rPr>
        <w:t>、预算、定额等作为评价标准。</w:t>
      </w:r>
      <w:bookmarkEnd w:id="8"/>
      <w:bookmarkEnd w:id="9"/>
    </w:p>
    <w:p w14:paraId="3131F090">
      <w:pPr>
        <w:spacing w:line="560" w:lineRule="exact"/>
        <w:ind w:firstLine="640"/>
        <w:rPr>
          <w:rFonts w:eastAsia="方正仿宋_GBK" w:cs="方正仿宋_GBK"/>
          <w:sz w:val="32"/>
          <w:szCs w:val="32"/>
        </w:rPr>
      </w:pPr>
      <w:bookmarkStart w:id="10" w:name="_Toc16028"/>
      <w:bookmarkStart w:id="11" w:name="_Toc430"/>
      <w:r>
        <w:rPr>
          <w:rFonts w:hint="eastAsia" w:eastAsia="方正仿宋_GBK" w:cs="方正仿宋_GBK"/>
          <w:b/>
          <w:bCs/>
          <w:sz w:val="32"/>
          <w:szCs w:val="32"/>
        </w:rPr>
        <w:t>历史标准：</w:t>
      </w:r>
      <w:r>
        <w:rPr>
          <w:rFonts w:hint="eastAsia" w:eastAsia="方正仿宋_GBK" w:cs="方正仿宋_GBK"/>
          <w:sz w:val="32"/>
          <w:szCs w:val="32"/>
        </w:rPr>
        <w:t>指参照历史数据制定的评价标准，为体现绩效改进的原则，在可实现的条件下应当确定相对较高的评价标准。</w:t>
      </w:r>
      <w:bookmarkEnd w:id="10"/>
      <w:bookmarkEnd w:id="11"/>
    </w:p>
    <w:p w14:paraId="1708206F">
      <w:pPr>
        <w:pStyle w:val="8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1028108E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1.前期准备。</w:t>
      </w:r>
      <w:r>
        <w:rPr>
          <w:rFonts w:hint="eastAsia" w:eastAsia="仿宋_GB2312"/>
          <w:bCs/>
          <w:sz w:val="32"/>
          <w:szCs w:val="32"/>
        </w:rPr>
        <w:t>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458F119C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eastAsia="仿宋_GB2312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12C6329C">
      <w:pPr>
        <w:spacing w:line="560" w:lineRule="exact"/>
        <w:ind w:firstLine="643" w:firstLine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eastAsia="仿宋_GB2312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7D3B466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综合评价情况及评价结论（附相关评分表）</w:t>
      </w:r>
    </w:p>
    <w:p w14:paraId="4B3B1345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218BD2F6">
      <w:pPr>
        <w:spacing w:line="600" w:lineRule="exact"/>
        <w:ind w:firstLine="640" w:firstLineChars="200"/>
        <w:outlineLvl w:val="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10A70169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2973C619">
      <w:pPr>
        <w:pStyle w:val="8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果：总得分为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40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</w:t>
      </w:r>
      <w:r>
        <w:rPr>
          <w:rFonts w:hint="eastAsia" w:ascii="Times New Roman" w:hAnsi="Times New Roman" w:eastAsia="仿宋_GB2312"/>
          <w:b w:val="0"/>
          <w:bCs w:val="0"/>
        </w:rPr>
        <w:t>具体打分情况详见：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综合评分表。</w:t>
      </w:r>
    </w:p>
    <w:p w14:paraId="700DF18B">
      <w:pPr>
        <w:pStyle w:val="8"/>
        <w:spacing w:before="0" w:after="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表1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F202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1549FD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2DEAB7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FC4F24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60091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89C12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A248D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0D21A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1032B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FCA81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2313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74123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6123C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78B7B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20D70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A9F76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4FB23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4BEAE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CE392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A91F2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0D151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C28AB">
            <w:pPr>
              <w:jc w:val="center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E7CF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8F587">
            <w:pPr>
              <w:jc w:val="center"/>
              <w:rPr>
                <w:rFonts w:hint="default" w:eastAsia="宋体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 w14:paraId="2BAB5595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4B72E8D3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11E35D67">
      <w:pPr>
        <w:spacing w:line="600" w:lineRule="exact"/>
        <w:ind w:firstLine="600" w:firstLineChars="200"/>
        <w:outlineLvl w:val="0"/>
        <w:rPr>
          <w:rFonts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项目决策类指标包括项目立项、绩效目标和资金投入三方面的内容，由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个三级指标构成，权重分值为20分，实际得分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%。</w:t>
      </w:r>
    </w:p>
    <w:p w14:paraId="7A58D786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1.项目立项</w:t>
      </w:r>
    </w:p>
    <w:p w14:paraId="0B3897F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（1）立项依据充分性</w:t>
      </w:r>
    </w:p>
    <w:p w14:paraId="3A18A12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55EA665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（2）立项程序规范性</w:t>
      </w:r>
    </w:p>
    <w:p w14:paraId="3114FED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项目的审批文件、材料符合相关要求，项目事前经过必要的绩效评估、集体决策，保障了程序的规范性。</w:t>
      </w:r>
    </w:p>
    <w:p w14:paraId="372BD48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 w14:paraId="55501909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6953C66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（1）绩效目标合理性</w:t>
      </w:r>
    </w:p>
    <w:p w14:paraId="2450A29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4C08E01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（2）绩效指标明确性</w:t>
      </w:r>
    </w:p>
    <w:p w14:paraId="5522DC6B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63FB1F9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7215534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（1）预算编制科学性</w:t>
      </w:r>
    </w:p>
    <w:p w14:paraId="4E099D5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763BBFE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（2）资金分配合理性</w:t>
      </w:r>
    </w:p>
    <w:p w14:paraId="2E9319D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资金分配额度与项目单位实际工作内容相适应，资金分配额度合理，资金分配依据充分。</w:t>
      </w:r>
    </w:p>
    <w:p w14:paraId="660901E2">
      <w:pPr>
        <w:pStyle w:val="8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407764F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项目过程类指标包括资金管理和组织实施两方面的内容，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个三级指标构成，权重分值为20分，实际得分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2BE6135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37B89A55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1.资金管理</w:t>
      </w:r>
    </w:p>
    <w:p w14:paraId="5ABC080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（1）资金到位率</w:t>
      </w:r>
    </w:p>
    <w:p w14:paraId="3D12462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本项目总投资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95.09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万元，财政资金及时足额到位，到位率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%，预算资金按计划进度执行。</w:t>
      </w:r>
    </w:p>
    <w:p w14:paraId="183A257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（2）预算执行率</w:t>
      </w:r>
    </w:p>
    <w:p w14:paraId="53919AC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预算编制较为详细，项目资金支出总体能够按照预算执行，预算资金支出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95.09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42AAED9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（3）资金使用合规性</w:t>
      </w:r>
    </w:p>
    <w:p w14:paraId="2CA1F76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4E165383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0DFC31A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（1）管理制度健全性</w:t>
      </w:r>
    </w:p>
    <w:p w14:paraId="2D01C58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7C3CA85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（2）制度执行有效性</w:t>
      </w:r>
    </w:p>
    <w:p w14:paraId="53ECB67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5496324D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7AAEC11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项目产出类指标包括产出数量、产出质量、产出时效、产出成本四方面的内容，由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个三级指标构成，权重分为40分，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%。具体产出指标完成情况如下：</w:t>
      </w:r>
    </w:p>
    <w:p w14:paraId="5540802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数量指标：</w:t>
      </w:r>
    </w:p>
    <w:p w14:paraId="31E78E5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2" w:name="OLE_LINK11"/>
      <w:r>
        <w:rPr>
          <w:rFonts w:hint="eastAsia" w:ascii="仿宋_GB2312" w:hAnsi="仿宋_GB2312" w:eastAsia="仿宋_GB2312" w:cs="仿宋_GB2312"/>
          <w:sz w:val="32"/>
          <w:szCs w:val="32"/>
        </w:rPr>
        <w:t xml:space="preserve">指标1：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偿还提升打造项目欠款企业数量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2家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2家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67D418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13" w:name="OLE_LINK9"/>
      <w:r>
        <w:rPr>
          <w:rFonts w:hint="eastAsia" w:ascii="仿宋_GB2312" w:hAnsi="仿宋_GB2312" w:eastAsia="仿宋_GB2312" w:cs="仿宋_GB2312"/>
          <w:sz w:val="32"/>
          <w:szCs w:val="32"/>
        </w:rPr>
        <w:t>指标2：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偿还监理费、设计费企业数，指标值：等于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2家，实际完成值：2家，指标完成率100%。</w:t>
      </w:r>
      <w:bookmarkEnd w:id="13"/>
    </w:p>
    <w:p w14:paraId="258A6A3F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指标3：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偿还督导组食宿费企业数，指标值：等于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1家，实际完成值：1家，指标完成率100%。</w:t>
      </w:r>
      <w:bookmarkEnd w:id="12"/>
    </w:p>
    <w:p w14:paraId="61E8859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17003B6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资金使用合格率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:100%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%。</w:t>
      </w:r>
    </w:p>
    <w:p w14:paraId="6F4F335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③成本指标：</w:t>
      </w:r>
    </w:p>
    <w:p w14:paraId="603F6E4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4" w:name="OLE_LINK14"/>
      <w:r>
        <w:rPr>
          <w:rFonts w:hint="eastAsia" w:ascii="仿宋_GB2312" w:hAnsi="仿宋_GB2312" w:eastAsia="仿宋_GB2312" w:cs="仿宋_GB2312"/>
          <w:sz w:val="32"/>
          <w:szCs w:val="32"/>
        </w:rPr>
        <w:t xml:space="preserve">指标1：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平均偿还提升打造欠款金额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，指标值：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小于等于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1.87万元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1.87万元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，指标完成率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FD835B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平均偿还监理费、设计费金额，指标值：小于等于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44.67万元，实际完成值：44.67万元，指标完成率100%。</w:t>
      </w:r>
      <w:bookmarkEnd w:id="14"/>
    </w:p>
    <w:p w14:paraId="0719D3A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指标3：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偿还督导组食宿费金额，指标值：等于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2.01万元，实际完成值：2.01万元，指标完成率100%。</w:t>
      </w:r>
    </w:p>
    <w:p w14:paraId="1E8141EA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2666DED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项目效益类指标包括项目实施效益和满意度两方面的内容，由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%。具体效益指标及满意度指标完成情况如下：</w:t>
      </w:r>
    </w:p>
    <w:p w14:paraId="48BC5616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1.实施效益</w:t>
      </w:r>
    </w:p>
    <w:p w14:paraId="4820CFA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①社会效益指标：</w:t>
      </w:r>
    </w:p>
    <w:p w14:paraId="196BCFE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指标1：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降低单位债务分险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，指标值：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有效降低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bookmarkStart w:id="15" w:name="OLE_LINK1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完全达到预期效果</w:t>
      </w:r>
      <w:bookmarkEnd w:id="15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，指标完成率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69C424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保障项目顺利实施，指标值：有效保障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，实际完成值：完全达到预期效果，指标完成率100%。</w:t>
      </w:r>
    </w:p>
    <w:p w14:paraId="52E5FC36">
      <w:pPr>
        <w:spacing w:line="560" w:lineRule="exact"/>
        <w:ind w:firstLine="640" w:firstLineChars="200"/>
        <w:rPr>
          <w:rStyle w:val="18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70C2DDCD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  <w:bookmarkStart w:id="17" w:name="_GoBack"/>
      <w:bookmarkEnd w:id="17"/>
    </w:p>
    <w:p w14:paraId="2DC6F53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1B6311F5">
      <w:pPr>
        <w:pStyle w:val="8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ascii="Times New Roman" w:hAnsi="Times New Roman" w:eastAsia="仿宋_GB2312"/>
          <w:b w:val="0"/>
          <w:bCs w:val="0"/>
          <w:kern w:val="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72D26526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1FEBA96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由于部分人员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缺乏相关绩效管理专业知识，自评价工作还存在自我审定的局限性，影响评价质量。</w:t>
      </w:r>
    </w:p>
    <w:p w14:paraId="7ED8330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2.因轮岗、调动、等因素使我单位绩效工作人员流动频繁，造成了工作衔接不到位的情况。</w:t>
      </w:r>
    </w:p>
    <w:p w14:paraId="73220E60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有关建议</w:t>
      </w:r>
    </w:p>
    <w:p w14:paraId="1889A2B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34F20D1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49CFB64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3155A8CD">
      <w:pPr>
        <w:spacing w:line="600" w:lineRule="exact"/>
        <w:ind w:firstLine="640" w:firstLineChars="200"/>
        <w:outlineLvl w:val="0"/>
        <w:rPr>
          <w:sz w:val="2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sz w:val="36"/>
          <w:szCs w:val="32"/>
        </w:rPr>
        <w:t>。</w:t>
      </w:r>
    </w:p>
    <w:p w14:paraId="089E98A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781F1D1F">
      <w:pPr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16" w:name="page8"/>
      <w:bookmarkEnd w:id="16"/>
      <w:r>
        <w:rPr>
          <w:rFonts w:eastAsia="黑体"/>
          <w:sz w:val="32"/>
          <w:szCs w:val="32"/>
        </w:rPr>
        <w:t>明的问题</w:t>
      </w:r>
    </w:p>
    <w:p w14:paraId="0F2BE480">
      <w:pPr>
        <w:pStyle w:val="10"/>
        <w:spacing w:after="0" w:line="560" w:lineRule="exact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本项目无其他需说明的问题。</w:t>
      </w:r>
    </w:p>
    <w:p w14:paraId="5F97DA17"/>
    <w:sectPr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38D91C-7A12-4904-823C-A673D988098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D587025-FF4E-450B-8BE4-74E6D71970EA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3" w:fontKey="{B1A8B3EA-CE33-4C60-AFD5-AD3D15B33280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EC947FF-CD81-4088-A162-960BCEE3F05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3B3569A-5A2B-4BBB-ADC1-5B0A681A267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D93EC8D0-1604-46A6-8E99-36F40917A08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53950E92-98CE-42C2-AA5E-D035C6FF086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925154C8-D740-4F51-97CA-235786A0CB9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9" w:fontKey="{94822896-F98E-49C1-BB4C-371687495D8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0" w:fontKey="{4FADA289-E3BD-43B0-B970-8590FED36F9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BB48F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51C08B25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093379A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78EB2ABD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Body Text Indent"/>
    <w:basedOn w:val="1"/>
    <w:autoRedefine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9">
    <w:name w:val="Body Text First Indent"/>
    <w:basedOn w:val="3"/>
    <w:autoRedefine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4"/>
    <w:autoRedefine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uiPriority w:val="0"/>
    <w:rPr>
      <w:b/>
      <w:bCs/>
    </w:rPr>
  </w:style>
  <w:style w:type="paragraph" w:customStyle="1" w:styleId="15">
    <w:name w:val="Comment Text"/>
    <w:basedOn w:val="1"/>
    <w:link w:val="22"/>
    <w:autoRedefine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autoRedefine/>
    <w:qFormat/>
    <w:uiPriority w:val="0"/>
    <w:rPr>
      <w:b/>
      <w:bCs/>
    </w:rPr>
  </w:style>
  <w:style w:type="character" w:customStyle="1" w:styleId="17">
    <w:name w:val="Comment Reference"/>
    <w:basedOn w:val="13"/>
    <w:autoRedefine/>
    <w:qFormat/>
    <w:uiPriority w:val="0"/>
    <w:rPr>
      <w:sz w:val="21"/>
      <w:szCs w:val="21"/>
    </w:rPr>
  </w:style>
  <w:style w:type="character" w:customStyle="1" w:styleId="18">
    <w:name w:val="fontstyle01"/>
    <w:autoRedefine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autoRedefine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autoRedefine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autoRedefine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eyJoZGlkIjoiZjFmZWIzNDg2MmIzZjExOTIzMmViNTBmYTMwYTk0ZWYiLCJ1c2VySWQiOiI0MTgzMjQ1MDUifQ==</vt:lpwstr>
  </property>
</Properties>
</file>

<file path=customXml/itemProps1.xml><?xml version="1.0" encoding="utf-8"?>
<ds:datastoreItem xmlns:ds="http://schemas.openxmlformats.org/officeDocument/2006/customXml" ds:itemID="{EEA5C986-6CAE-461A-935E-905AB5D0E2F3}">
  <ds:schemaRefs/>
</ds:datastoreItem>
</file>

<file path=customXml/itemProps2.xml><?xml version="1.0" encoding="utf-8"?>
<ds:datastoreItem xmlns:ds="http://schemas.openxmlformats.org/officeDocument/2006/customXml" ds:itemID="{3252efc7-2301-4562-b85b-35c3bfa098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5273</Words>
  <Characters>5593</Characters>
  <Lines>66</Lines>
  <Paragraphs>18</Paragraphs>
  <TotalTime>6</TotalTime>
  <ScaleCrop>false</ScaleCrop>
  <LinksUpToDate>false</LinksUpToDate>
  <CharactersWithSpaces>5602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2025-11-04T09:55:21Z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eyJoZGlkIjoiZjFmZWIzNDg2MmIzZjExOTIzMmViNTBmYTMwYTk0ZWYiLCJ1c2VySWQiOiI0MTgzMjQ1MDUifQ_x003D__x003D_</vt:lpwstr>
  </property>
</Properties>
</file>